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7D90" w:rsidRPr="00BA52FD" w:rsidRDefault="00EE7D90" w:rsidP="00EE7D90">
      <w:pPr>
        <w:pStyle w:val="ChapNum"/>
        <w:rPr>
          <w:rFonts w:ascii="Times New Roman Bold" w:hAnsi="Times New Roman Bold"/>
          <w:sz w:val="24"/>
          <w:u w:val="none"/>
          <w:vertAlign w:val="superscript"/>
          <w:lang w:val="tr-TR"/>
        </w:rPr>
      </w:pPr>
      <w:r w:rsidRPr="00BA52FD">
        <w:rPr>
          <w:sz w:val="24"/>
          <w:lang w:val="tr-TR"/>
        </w:rPr>
        <w:t>Ek 10</w:t>
      </w:r>
      <w:r w:rsidRPr="00BA52FD">
        <w:rPr>
          <w:sz w:val="24"/>
          <w:u w:val="none"/>
          <w:lang w:val="tr-TR"/>
        </w:rPr>
        <w:t xml:space="preserve"> </w:t>
      </w:r>
      <w:r w:rsidRPr="00BA52FD">
        <w:rPr>
          <w:rStyle w:val="DipnotBavurusu"/>
          <w:sz w:val="24"/>
          <w:lang w:val="tr-TR"/>
        </w:rPr>
        <w:footnoteReference w:customMarkFollows="1" w:id="1"/>
        <w:sym w:font="Symbol" w:char="F02A"/>
      </w:r>
      <w:r w:rsidRPr="00BA52FD">
        <w:rPr>
          <w:rFonts w:ascii="Times New Roman Bold" w:hAnsi="Times New Roman Bold"/>
          <w:sz w:val="24"/>
          <w:u w:val="none"/>
          <w:vertAlign w:val="superscript"/>
          <w:lang w:val="tr-TR"/>
        </w:rPr>
        <w:t>/</w:t>
      </w:r>
    </w:p>
    <w:p w:rsidR="00EE7D90" w:rsidRPr="00BA52FD" w:rsidRDefault="00EE7D90" w:rsidP="00EE7D90">
      <w:pPr>
        <w:pStyle w:val="ALTBASLIK"/>
        <w:spacing w:line="240" w:lineRule="exact"/>
        <w:rPr>
          <w:rFonts w:ascii="Times New Roman" w:hAnsi="Times New Roman"/>
          <w:sz w:val="24"/>
          <w:szCs w:val="24"/>
          <w:lang w:val="tr-TR"/>
        </w:rPr>
      </w:pPr>
    </w:p>
    <w:p w:rsidR="00EE7D90" w:rsidRPr="00BA52FD" w:rsidRDefault="00EE7D90" w:rsidP="00EE7D90">
      <w:pPr>
        <w:pStyle w:val="ALTBASLIK"/>
        <w:spacing w:line="240" w:lineRule="exact"/>
        <w:rPr>
          <w:rFonts w:ascii="Times New Roman" w:hAnsi="Times New Roman"/>
          <w:sz w:val="24"/>
          <w:szCs w:val="24"/>
          <w:lang w:val="tr-TR"/>
        </w:rPr>
      </w:pPr>
      <w:r w:rsidRPr="00BA52FD">
        <w:rPr>
          <w:rFonts w:ascii="Times New Roman" w:hAnsi="Times New Roman"/>
          <w:sz w:val="24"/>
          <w:szCs w:val="24"/>
          <w:lang w:val="tr-TR"/>
        </w:rPr>
        <w:t>AKİT TARAFLARCA YETKİLİ KURULUŞLARA (Madde 42 üçüncü mükerrer</w:t>
      </w:r>
    </w:p>
    <w:p w:rsidR="00EE7D90" w:rsidRPr="00BA52FD" w:rsidRDefault="00EE7D90" w:rsidP="00EE7D90">
      <w:pPr>
        <w:pStyle w:val="ALTBASLIK"/>
        <w:spacing w:line="240" w:lineRule="exact"/>
        <w:rPr>
          <w:rFonts w:ascii="Times New Roman" w:hAnsi="Times New Roman"/>
          <w:sz w:val="24"/>
          <w:szCs w:val="24"/>
          <w:lang w:val="tr-TR"/>
        </w:rPr>
      </w:pPr>
      <w:r w:rsidRPr="00BA52FD">
        <w:rPr>
          <w:rFonts w:ascii="Times New Roman" w:hAnsi="Times New Roman"/>
          <w:sz w:val="24"/>
          <w:szCs w:val="24"/>
          <w:lang w:val="tr-TR"/>
        </w:rPr>
        <w:t>uyarınca) VE ULUSLARARASI KURULUŞA (Madde 6. ikinci 2 mükerrer uyarınca) SAĞLANACAK BİLGİLER</w:t>
      </w:r>
    </w:p>
    <w:p w:rsidR="00EE7D90" w:rsidRPr="00BA52FD" w:rsidRDefault="00EE7D90" w:rsidP="00EE7D90">
      <w:pPr>
        <w:pStyle w:val="ALTBASLIK"/>
        <w:spacing w:line="240" w:lineRule="exact"/>
        <w:rPr>
          <w:rFonts w:ascii="Times New Roman" w:hAnsi="Times New Roman"/>
          <w:sz w:val="24"/>
          <w:szCs w:val="24"/>
          <w:lang w:val="tr-TR"/>
        </w:rPr>
      </w:pPr>
    </w:p>
    <w:p w:rsidR="00EE7D90" w:rsidRPr="00BA52FD" w:rsidRDefault="00EE7D90" w:rsidP="00EE7D90">
      <w:pPr>
        <w:tabs>
          <w:tab w:val="left" w:pos="567"/>
        </w:tabs>
        <w:spacing w:line="240" w:lineRule="exact"/>
        <w:jc w:val="both"/>
        <w:rPr>
          <w:sz w:val="24"/>
          <w:lang w:val="tr-TR"/>
        </w:rPr>
      </w:pPr>
      <w:r w:rsidRPr="00BA52FD">
        <w:rPr>
          <w:b/>
          <w:sz w:val="24"/>
          <w:lang w:val="tr-TR"/>
        </w:rPr>
        <w:tab/>
      </w:r>
      <w:r w:rsidRPr="00BA52FD">
        <w:rPr>
          <w:sz w:val="24"/>
          <w:lang w:val="tr-TR"/>
        </w:rPr>
        <w:t>Bu Sözleşmenin Madde 6, fıkra 1 ve Ek-9, Kısım 1, Madde l'in (f) (iii) fıkrası uyarınca, yetkili kuruluşların TIR rejimine girmek üzere yetkilendirilen kişilerin, Sözleşmenin Ek-9, Kısım 2'de belirtilen asgari koşul ve gereklilikleri sağladığını düzenli olarak kontrol etmeyi taahhüt etmeleri gerekmektedir.</w:t>
      </w:r>
    </w:p>
    <w:p w:rsidR="00EE7D90" w:rsidRPr="00BA52FD" w:rsidRDefault="00EE7D90" w:rsidP="00EE7D90">
      <w:pPr>
        <w:tabs>
          <w:tab w:val="left" w:pos="567"/>
        </w:tabs>
        <w:spacing w:line="240" w:lineRule="exact"/>
        <w:jc w:val="both"/>
        <w:rPr>
          <w:sz w:val="24"/>
          <w:lang w:val="tr-TR"/>
        </w:rPr>
      </w:pPr>
    </w:p>
    <w:p w:rsidR="00EE7D90" w:rsidRPr="00BA52FD" w:rsidRDefault="00EE7D90" w:rsidP="00EE7D90">
      <w:pPr>
        <w:tabs>
          <w:tab w:val="left" w:pos="567"/>
        </w:tabs>
        <w:spacing w:line="240" w:lineRule="exact"/>
        <w:jc w:val="both"/>
        <w:rPr>
          <w:sz w:val="24"/>
          <w:lang w:val="tr-TR"/>
        </w:rPr>
      </w:pPr>
      <w:r w:rsidRPr="00BA52FD">
        <w:rPr>
          <w:sz w:val="24"/>
          <w:lang w:val="tr-TR"/>
        </w:rPr>
        <w:tab/>
        <w:t>Üye kuruluşları adına ve madde 6, fıkra ikinci mükerrere göre yetkilendirilmiş uluslararası kuruluş olarak sorumluluklarını yerine getirmek üzere bir uluslararası kuruluş TIR karne verilerini tutmak, gümrük makamları tarafından aktarılan ve kuruluşlarca ve gümrük idarelerince erişilebilen ve TIR işlemlerinin varış gümrük idarelerinde sonlandırılmasına dair verileri derlemek için TIR karnelerine ilişkin bir kontrol sistemi oluşturur. Kuruluşların taahhütlerini etkin bir şekilde yerine getirmelerini sağlamak üzere, Akit Taraflar aşağıda belirtilen usüller uyarınca kontrol sistemine bilgi aktarmayı sağlamalıdır:</w:t>
      </w:r>
    </w:p>
    <w:p w:rsidR="00EE7D90" w:rsidRPr="00BA52FD" w:rsidRDefault="00EE7D90" w:rsidP="00EE7D90">
      <w:pPr>
        <w:tabs>
          <w:tab w:val="left" w:pos="567"/>
        </w:tabs>
        <w:spacing w:line="240" w:lineRule="exact"/>
        <w:jc w:val="both"/>
        <w:rPr>
          <w:sz w:val="24"/>
          <w:lang w:val="tr-TR"/>
        </w:rPr>
      </w:pPr>
    </w:p>
    <w:p w:rsidR="00EE7D90" w:rsidRPr="00BA52FD" w:rsidRDefault="00EE7D90" w:rsidP="00EE7D90">
      <w:pPr>
        <w:tabs>
          <w:tab w:val="left" w:pos="567"/>
        </w:tabs>
        <w:spacing w:line="240" w:lineRule="exact"/>
        <w:jc w:val="both"/>
        <w:rPr>
          <w:sz w:val="24"/>
          <w:lang w:val="tr-TR"/>
        </w:rPr>
      </w:pPr>
      <w:r w:rsidRPr="00BA52FD">
        <w:rPr>
          <w:sz w:val="24"/>
          <w:lang w:val="tr-TR"/>
        </w:rPr>
        <w:tab/>
        <w:t>1) Gümrük makamları, bir uluslararası kuruluşa veya ulusal kefil kuruluşlara, mümkün ise merkezi veya bölgesel idareler aracılığı ile, mevcut en hızlı iletişim araçları ile (faks, elektronik posta, vb.) ve mümkün olması halinde günlük olarak, asgaride aşağıdaki bilgileri, standart bir format uyarınca, Sözleşmenin Madde 1 (l)'de tanımlandığı üzere, varış gümrük idaresine sunulan tüm TIR karneleri için iletirler:</w:t>
      </w:r>
    </w:p>
    <w:p w:rsidR="00EE7D90" w:rsidRPr="00BA52FD" w:rsidRDefault="00EE7D90" w:rsidP="00EE7D90">
      <w:pPr>
        <w:tabs>
          <w:tab w:val="left" w:pos="567"/>
        </w:tabs>
        <w:spacing w:line="240" w:lineRule="exact"/>
        <w:jc w:val="both"/>
        <w:rPr>
          <w:sz w:val="24"/>
          <w:lang w:val="tr-TR"/>
        </w:rPr>
      </w:pPr>
    </w:p>
    <w:p w:rsidR="00EE7D90" w:rsidRPr="00BA52FD" w:rsidRDefault="00EE7D90" w:rsidP="00EE7D90">
      <w:pPr>
        <w:tabs>
          <w:tab w:val="left" w:pos="567"/>
        </w:tabs>
        <w:spacing w:line="240" w:lineRule="exact"/>
        <w:jc w:val="both"/>
        <w:rPr>
          <w:sz w:val="24"/>
          <w:lang w:val="tr-TR"/>
        </w:rPr>
      </w:pPr>
      <w:r w:rsidRPr="00BA52FD">
        <w:rPr>
          <w:sz w:val="24"/>
          <w:lang w:val="tr-TR"/>
        </w:rPr>
        <w:tab/>
        <w:t>a) TIR karnesi referans numarası;</w:t>
      </w:r>
    </w:p>
    <w:p w:rsidR="00EE7D90" w:rsidRPr="00BA52FD" w:rsidRDefault="00EE7D90" w:rsidP="00EE7D90">
      <w:pPr>
        <w:tabs>
          <w:tab w:val="left" w:pos="567"/>
        </w:tabs>
        <w:spacing w:line="240" w:lineRule="exact"/>
        <w:jc w:val="both"/>
        <w:rPr>
          <w:sz w:val="24"/>
          <w:lang w:val="tr-TR"/>
        </w:rPr>
      </w:pPr>
    </w:p>
    <w:p w:rsidR="00EE7D90" w:rsidRPr="00BA52FD" w:rsidRDefault="00EE7D90" w:rsidP="00EE7D90">
      <w:pPr>
        <w:tabs>
          <w:tab w:val="left" w:pos="567"/>
        </w:tabs>
        <w:spacing w:line="240" w:lineRule="exact"/>
        <w:jc w:val="both"/>
        <w:rPr>
          <w:sz w:val="24"/>
          <w:lang w:val="tr-TR"/>
        </w:rPr>
      </w:pPr>
      <w:r w:rsidRPr="00BA52FD">
        <w:rPr>
          <w:sz w:val="24"/>
          <w:lang w:val="tr-TR"/>
        </w:rPr>
        <w:tab/>
        <w:t>b) Gümrük defterine kayıt tarihi ve sayısı;</w:t>
      </w:r>
    </w:p>
    <w:p w:rsidR="00EE7D90" w:rsidRPr="00BA52FD" w:rsidRDefault="00EE7D90" w:rsidP="00EE7D90">
      <w:pPr>
        <w:tabs>
          <w:tab w:val="left" w:pos="567"/>
        </w:tabs>
        <w:spacing w:line="240" w:lineRule="exact"/>
        <w:jc w:val="both"/>
        <w:rPr>
          <w:sz w:val="24"/>
          <w:lang w:val="tr-TR"/>
        </w:rPr>
      </w:pPr>
    </w:p>
    <w:p w:rsidR="00EE7D90" w:rsidRPr="00BA52FD" w:rsidRDefault="00EE7D90" w:rsidP="00EE7D90">
      <w:pPr>
        <w:tabs>
          <w:tab w:val="left" w:pos="567"/>
        </w:tabs>
        <w:spacing w:line="240" w:lineRule="exact"/>
        <w:jc w:val="both"/>
        <w:rPr>
          <w:sz w:val="24"/>
          <w:lang w:val="tr-TR"/>
        </w:rPr>
      </w:pPr>
      <w:r w:rsidRPr="00BA52FD">
        <w:rPr>
          <w:sz w:val="24"/>
          <w:lang w:val="tr-TR"/>
        </w:rPr>
        <w:tab/>
        <w:t>c) Varış gümrük idaresi adı veya numarası;</w:t>
      </w:r>
    </w:p>
    <w:p w:rsidR="00EE7D90" w:rsidRPr="00BA52FD" w:rsidRDefault="00EE7D90" w:rsidP="00EE7D90">
      <w:pPr>
        <w:tabs>
          <w:tab w:val="left" w:pos="567"/>
        </w:tabs>
        <w:spacing w:line="240" w:lineRule="exact"/>
        <w:jc w:val="both"/>
        <w:rPr>
          <w:sz w:val="24"/>
          <w:lang w:val="tr-TR"/>
        </w:rPr>
      </w:pPr>
    </w:p>
    <w:p w:rsidR="00EE7D90" w:rsidRPr="00BA52FD" w:rsidRDefault="00EE7D90" w:rsidP="00EE7D90">
      <w:pPr>
        <w:tabs>
          <w:tab w:val="left" w:pos="567"/>
        </w:tabs>
        <w:spacing w:line="240" w:lineRule="exact"/>
        <w:ind w:left="567"/>
        <w:jc w:val="both"/>
        <w:rPr>
          <w:sz w:val="24"/>
          <w:lang w:val="tr-TR"/>
        </w:rPr>
      </w:pPr>
      <w:r w:rsidRPr="00BA52FD">
        <w:rPr>
          <w:sz w:val="24"/>
          <w:lang w:val="tr-TR"/>
        </w:rPr>
        <w:t>d) Varış gümrük idaresinde TIR işleminin sonlandırılmasına ilişkin belgede yer alan tarih ve referans numarası (2 no.lu üst koçanın 24 ila 28 inci kutuları) (eğer b'den farklı ise);</w:t>
      </w:r>
    </w:p>
    <w:p w:rsidR="00EE7D90" w:rsidRPr="00BA52FD" w:rsidRDefault="00EE7D90" w:rsidP="00EE7D90">
      <w:pPr>
        <w:tabs>
          <w:tab w:val="left" w:pos="567"/>
        </w:tabs>
        <w:spacing w:line="240" w:lineRule="exact"/>
        <w:jc w:val="both"/>
        <w:rPr>
          <w:sz w:val="24"/>
          <w:lang w:val="tr-TR"/>
        </w:rPr>
      </w:pPr>
    </w:p>
    <w:p w:rsidR="00EE7D90" w:rsidRPr="00BA52FD" w:rsidRDefault="00EE7D90" w:rsidP="00EE7D90">
      <w:pPr>
        <w:tabs>
          <w:tab w:val="left" w:pos="567"/>
        </w:tabs>
        <w:spacing w:line="240" w:lineRule="exact"/>
        <w:jc w:val="both"/>
        <w:rPr>
          <w:sz w:val="24"/>
          <w:lang w:val="tr-TR"/>
        </w:rPr>
      </w:pPr>
      <w:r w:rsidRPr="00BA52FD">
        <w:rPr>
          <w:sz w:val="24"/>
          <w:lang w:val="tr-TR"/>
        </w:rPr>
        <w:tab/>
        <w:t>e) Kısmi veya tam sonlandırma;</w:t>
      </w:r>
    </w:p>
    <w:p w:rsidR="00EE7D90" w:rsidRPr="00BA52FD" w:rsidRDefault="00EE7D90" w:rsidP="00EE7D90">
      <w:pPr>
        <w:tabs>
          <w:tab w:val="left" w:pos="567"/>
        </w:tabs>
        <w:spacing w:line="240" w:lineRule="exact"/>
        <w:jc w:val="both"/>
        <w:rPr>
          <w:sz w:val="24"/>
          <w:lang w:val="tr-TR"/>
        </w:rPr>
      </w:pPr>
    </w:p>
    <w:p w:rsidR="00EE7D90" w:rsidRPr="00BA52FD" w:rsidRDefault="00EE7D90" w:rsidP="00EE7D90">
      <w:pPr>
        <w:tabs>
          <w:tab w:val="left" w:pos="567"/>
        </w:tabs>
        <w:spacing w:line="240" w:lineRule="exact"/>
        <w:ind w:left="567"/>
        <w:jc w:val="both"/>
        <w:rPr>
          <w:sz w:val="24"/>
          <w:lang w:val="tr-TR"/>
        </w:rPr>
      </w:pPr>
      <w:r w:rsidRPr="00BA52FD">
        <w:rPr>
          <w:sz w:val="24"/>
          <w:lang w:val="tr-TR"/>
        </w:rPr>
        <w:t>f) Sözleşmenin 8 ve 11 inci maddeleri saklı kalmak kaydıyla, varış gümrük idaresinde şartlı veya şartsız olarak tasdik edilmiş TIR işleminin sonlandırılması;</w:t>
      </w:r>
    </w:p>
    <w:p w:rsidR="00EE7D90" w:rsidRPr="00BA52FD" w:rsidRDefault="00EE7D90" w:rsidP="00EE7D90">
      <w:pPr>
        <w:tabs>
          <w:tab w:val="left" w:pos="567"/>
        </w:tabs>
        <w:spacing w:line="240" w:lineRule="exact"/>
        <w:jc w:val="both"/>
        <w:rPr>
          <w:sz w:val="24"/>
          <w:lang w:val="tr-TR"/>
        </w:rPr>
      </w:pPr>
    </w:p>
    <w:p w:rsidR="00EE7D90" w:rsidRPr="00BA52FD" w:rsidRDefault="00EE7D90" w:rsidP="00EE7D90">
      <w:pPr>
        <w:tabs>
          <w:tab w:val="left" w:pos="567"/>
        </w:tabs>
        <w:spacing w:line="240" w:lineRule="exact"/>
        <w:jc w:val="both"/>
        <w:rPr>
          <w:sz w:val="24"/>
          <w:lang w:val="tr-TR"/>
        </w:rPr>
      </w:pPr>
      <w:r w:rsidRPr="00BA52FD">
        <w:rPr>
          <w:sz w:val="24"/>
          <w:lang w:val="tr-TR"/>
        </w:rPr>
        <w:tab/>
        <w:t>g) Diğer bilgi veya belgeler (isteğe bağlı);</w:t>
      </w:r>
    </w:p>
    <w:p w:rsidR="00EE7D90" w:rsidRPr="00BA52FD" w:rsidRDefault="00EE7D90" w:rsidP="00EE7D90">
      <w:pPr>
        <w:tabs>
          <w:tab w:val="left" w:pos="567"/>
        </w:tabs>
        <w:spacing w:line="240" w:lineRule="exact"/>
        <w:jc w:val="both"/>
        <w:rPr>
          <w:sz w:val="24"/>
          <w:lang w:val="tr-TR"/>
        </w:rPr>
      </w:pPr>
    </w:p>
    <w:p w:rsidR="00EE7D90" w:rsidRPr="00BA52FD" w:rsidRDefault="00EE7D90" w:rsidP="00EE7D90">
      <w:pPr>
        <w:tabs>
          <w:tab w:val="left" w:pos="567"/>
        </w:tabs>
        <w:spacing w:line="240" w:lineRule="exact"/>
        <w:jc w:val="both"/>
        <w:rPr>
          <w:sz w:val="24"/>
          <w:lang w:val="tr-TR"/>
        </w:rPr>
      </w:pPr>
      <w:r w:rsidRPr="00BA52FD">
        <w:rPr>
          <w:sz w:val="24"/>
          <w:lang w:val="tr-TR"/>
        </w:rPr>
        <w:tab/>
        <w:t>h) Sayfa numarası.</w:t>
      </w:r>
    </w:p>
    <w:p w:rsidR="00EE7D90" w:rsidRPr="00BA52FD" w:rsidRDefault="00EE7D90" w:rsidP="00EE7D90">
      <w:pPr>
        <w:tabs>
          <w:tab w:val="left" w:pos="567"/>
        </w:tabs>
        <w:spacing w:line="240" w:lineRule="exact"/>
        <w:jc w:val="both"/>
        <w:rPr>
          <w:sz w:val="24"/>
          <w:lang w:val="tr-TR"/>
        </w:rPr>
      </w:pPr>
    </w:p>
    <w:p w:rsidR="00EE7D90" w:rsidRPr="00BA52FD" w:rsidRDefault="00EE7D90" w:rsidP="00EE7D90">
      <w:pPr>
        <w:tabs>
          <w:tab w:val="left" w:pos="567"/>
        </w:tabs>
        <w:spacing w:line="240" w:lineRule="exact"/>
        <w:jc w:val="both"/>
        <w:rPr>
          <w:sz w:val="24"/>
          <w:lang w:val="tr-TR"/>
        </w:rPr>
      </w:pPr>
      <w:r w:rsidRPr="00BA52FD">
        <w:rPr>
          <w:sz w:val="24"/>
          <w:lang w:val="tr-TR"/>
        </w:rPr>
        <w:lastRenderedPageBreak/>
        <w:t>2) Aşağıdaki hallerde, ekte yer alan Model Uyumlaştırma Formu (Model Reconciliation Form-MRF) ulusal kuruluşlar veya bir uluslararası kuruluş tarafından gümrük makamlarına gönderilebilir:</w:t>
      </w:r>
    </w:p>
    <w:p w:rsidR="00EE7D90" w:rsidRPr="00BA52FD" w:rsidRDefault="00EE7D90" w:rsidP="00EE7D90">
      <w:pPr>
        <w:tabs>
          <w:tab w:val="left" w:pos="567"/>
        </w:tabs>
        <w:spacing w:line="240" w:lineRule="exact"/>
        <w:jc w:val="both"/>
        <w:rPr>
          <w:sz w:val="24"/>
          <w:lang w:val="tr-TR"/>
        </w:rPr>
      </w:pPr>
    </w:p>
    <w:p w:rsidR="00EE7D90" w:rsidRPr="00BA52FD" w:rsidRDefault="00EE7D90" w:rsidP="00EE7D90">
      <w:pPr>
        <w:tabs>
          <w:tab w:val="left" w:pos="567"/>
        </w:tabs>
        <w:spacing w:line="240" w:lineRule="exact"/>
        <w:jc w:val="both"/>
        <w:rPr>
          <w:sz w:val="24"/>
          <w:lang w:val="tr-TR"/>
        </w:rPr>
      </w:pPr>
      <w:r w:rsidRPr="00BA52FD">
        <w:rPr>
          <w:sz w:val="24"/>
          <w:lang w:val="tr-TR"/>
        </w:rPr>
        <w:tab/>
        <w:t>a) İletilen veriler ile kullanılmış TIR karnesi dipkoçanlarında yer alan veriler arasında farklılıklar var ise; veya</w:t>
      </w:r>
    </w:p>
    <w:p w:rsidR="00EE7D90" w:rsidRPr="00BA52FD" w:rsidRDefault="00EE7D90" w:rsidP="00EE7D90">
      <w:pPr>
        <w:tabs>
          <w:tab w:val="left" w:pos="567"/>
        </w:tabs>
        <w:spacing w:line="240" w:lineRule="exact"/>
        <w:jc w:val="both"/>
        <w:rPr>
          <w:sz w:val="24"/>
          <w:lang w:val="tr-TR"/>
        </w:rPr>
      </w:pPr>
    </w:p>
    <w:p w:rsidR="00EE7D90" w:rsidRPr="00BA52FD" w:rsidRDefault="00EE7D90" w:rsidP="00EE7D90">
      <w:pPr>
        <w:tabs>
          <w:tab w:val="left" w:pos="567"/>
        </w:tabs>
        <w:spacing w:line="240" w:lineRule="exact"/>
        <w:jc w:val="both"/>
        <w:rPr>
          <w:sz w:val="24"/>
          <w:lang w:val="tr-TR"/>
        </w:rPr>
      </w:pPr>
      <w:r w:rsidRPr="00BA52FD">
        <w:rPr>
          <w:sz w:val="24"/>
          <w:lang w:val="tr-TR"/>
        </w:rPr>
        <w:tab/>
        <w:t>b) Kullanılmış TIR karnesi ulusal kuruluşa dönmekle birlikte hiçbir veri iletilmemiş ise</w:t>
      </w:r>
    </w:p>
    <w:p w:rsidR="00EE7D90" w:rsidRPr="00BA52FD" w:rsidRDefault="00EE7D90" w:rsidP="00EE7D90">
      <w:pPr>
        <w:tabs>
          <w:tab w:val="left" w:pos="567"/>
        </w:tabs>
        <w:spacing w:line="240" w:lineRule="exact"/>
        <w:jc w:val="both"/>
        <w:rPr>
          <w:sz w:val="24"/>
          <w:lang w:val="tr-TR"/>
        </w:rPr>
      </w:pPr>
    </w:p>
    <w:p w:rsidR="00EE7D90" w:rsidRPr="00BA52FD" w:rsidRDefault="00EE7D90" w:rsidP="00EE7D90">
      <w:pPr>
        <w:tabs>
          <w:tab w:val="left" w:pos="567"/>
        </w:tabs>
        <w:spacing w:line="240" w:lineRule="exact"/>
        <w:jc w:val="both"/>
        <w:rPr>
          <w:sz w:val="24"/>
          <w:lang w:val="tr-TR"/>
        </w:rPr>
      </w:pPr>
      <w:r w:rsidRPr="00BA52FD">
        <w:rPr>
          <w:sz w:val="24"/>
          <w:lang w:val="tr-TR"/>
        </w:rPr>
        <w:t>Gümrük makamları, MRF formunu mümkün olan en kısa sürede usulünce doldurup göndererek uyumlaştırma taleplerini yanıtlarlar.</w:t>
      </w:r>
    </w:p>
    <w:p w:rsidR="00EE7D90" w:rsidRPr="00BA52FD" w:rsidRDefault="00EE7D90" w:rsidP="00EE7D90">
      <w:pPr>
        <w:tabs>
          <w:tab w:val="left" w:pos="567"/>
        </w:tabs>
        <w:spacing w:line="240" w:lineRule="exact"/>
        <w:jc w:val="both"/>
        <w:rPr>
          <w:sz w:val="24"/>
          <w:lang w:val="tr-TR"/>
        </w:rPr>
      </w:pPr>
    </w:p>
    <w:p w:rsidR="00EE7D90" w:rsidRPr="00BA52FD" w:rsidRDefault="00EE7D90" w:rsidP="00EE7D90">
      <w:pPr>
        <w:tabs>
          <w:tab w:val="left" w:pos="567"/>
        </w:tabs>
        <w:spacing w:line="240" w:lineRule="exact"/>
        <w:jc w:val="both"/>
        <w:rPr>
          <w:sz w:val="24"/>
          <w:lang w:val="tr-TR"/>
        </w:rPr>
      </w:pPr>
      <w:r w:rsidRPr="00BA52FD">
        <w:rPr>
          <w:sz w:val="24"/>
          <w:lang w:val="tr-TR"/>
        </w:rPr>
        <w:t>3) Yukarıdaki veri değişimi için, gümrük makamları ile ulusal kefil kuruluşlar arasında ulusal mevzuatlarına uygun bir anlaşma akdedilir.</w:t>
      </w:r>
    </w:p>
    <w:p w:rsidR="00EE7D90" w:rsidRPr="00BA52FD" w:rsidRDefault="00EE7D90" w:rsidP="00EE7D90">
      <w:pPr>
        <w:tabs>
          <w:tab w:val="left" w:pos="567"/>
        </w:tabs>
        <w:spacing w:line="240" w:lineRule="exact"/>
        <w:jc w:val="both"/>
        <w:rPr>
          <w:sz w:val="24"/>
          <w:lang w:val="tr-TR"/>
        </w:rPr>
      </w:pPr>
      <w:r w:rsidRPr="00BA52FD">
        <w:rPr>
          <w:sz w:val="24"/>
          <w:lang w:val="tr-TR"/>
        </w:rPr>
        <w:t>4) Bir uluslararası kuruluş gümrük makamlarının, sonlandırılmış TIR karneleri ve geçersiz kılınmış TIR karnelerine ilişkin veri tabanlarına erişimini sağlar.</w:t>
      </w:r>
    </w:p>
    <w:p w:rsidR="00EE7D90" w:rsidRPr="00BA52FD" w:rsidRDefault="00EE7D90" w:rsidP="00EE7D90">
      <w:pPr>
        <w:tabs>
          <w:tab w:val="left" w:pos="567"/>
        </w:tabs>
        <w:spacing w:line="240" w:lineRule="exact"/>
        <w:jc w:val="both"/>
        <w:rPr>
          <w:sz w:val="24"/>
          <w:lang w:val="tr-TR"/>
        </w:rPr>
      </w:pPr>
    </w:p>
    <w:p w:rsidR="00EE7D90" w:rsidRDefault="00EE7D90" w:rsidP="00EE7D90">
      <w:pPr>
        <w:pStyle w:val="ChapNum"/>
        <w:rPr>
          <w:sz w:val="24"/>
          <w:lang w:val="tr-TR"/>
        </w:rPr>
      </w:pPr>
    </w:p>
    <w:p w:rsidR="00EE7D90" w:rsidRDefault="00EE7D90" w:rsidP="00EE7D90">
      <w:pPr>
        <w:pStyle w:val="ChapNum"/>
        <w:rPr>
          <w:sz w:val="24"/>
          <w:lang w:val="tr-TR"/>
        </w:rPr>
      </w:pPr>
    </w:p>
    <w:p w:rsidR="00EE7D90" w:rsidRDefault="00EE7D90" w:rsidP="00EE7D90">
      <w:pPr>
        <w:pStyle w:val="ChapNum"/>
        <w:rPr>
          <w:sz w:val="24"/>
          <w:lang w:val="tr-TR"/>
        </w:rPr>
      </w:pPr>
    </w:p>
    <w:p w:rsidR="00EE7D90" w:rsidRDefault="00EE7D90" w:rsidP="00EE7D90">
      <w:pPr>
        <w:pStyle w:val="ChapNum"/>
        <w:rPr>
          <w:sz w:val="24"/>
          <w:lang w:val="tr-TR"/>
        </w:rPr>
        <w:sectPr w:rsidR="00EE7D90" w:rsidSect="00D0163F">
          <w:headerReference w:type="even" r:id="rId6"/>
          <w:headerReference w:type="default" r:id="rId7"/>
          <w:footerReference w:type="even" r:id="rId8"/>
          <w:footerReference w:type="default" r:id="rId9"/>
          <w:footerReference w:type="first" r:id="rId10"/>
          <w:pgSz w:w="11906" w:h="16838" w:code="9"/>
          <w:pgMar w:top="2552" w:right="1418" w:bottom="1985" w:left="1985" w:header="1701" w:footer="567" w:gutter="0"/>
          <w:cols w:space="708"/>
          <w:docGrid w:linePitch="360"/>
        </w:sectPr>
      </w:pPr>
    </w:p>
    <w:p w:rsidR="00EE7D90" w:rsidRPr="00BA52FD" w:rsidRDefault="00EE7D90" w:rsidP="00EE7D90">
      <w:pPr>
        <w:pStyle w:val="ChapNum"/>
        <w:rPr>
          <w:sz w:val="24"/>
          <w:u w:val="none"/>
          <w:lang w:val="tr-TR"/>
        </w:rPr>
      </w:pPr>
      <w:r>
        <w:rPr>
          <w:noProof/>
          <w:sz w:val="24"/>
          <w:lang w:val="tr-TR" w:eastAsia="tr-TR"/>
        </w:rPr>
        <w:lastRenderedPageBreak/>
        <w:drawing>
          <wp:inline distT="0" distB="0" distL="0" distR="0">
            <wp:extent cx="4945380" cy="7665720"/>
            <wp:effectExtent l="19050" t="0" r="7620" b="0"/>
            <wp:docPr id="1" name="Resim 1" descr="mr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rf"/>
                    <pic:cNvPicPr>
                      <a:picLocks noChangeAspect="1" noChangeArrowheads="1"/>
                    </pic:cNvPicPr>
                  </pic:nvPicPr>
                  <pic:blipFill>
                    <a:blip r:embed="rId11"/>
                    <a:srcRect/>
                    <a:stretch>
                      <a:fillRect/>
                    </a:stretch>
                  </pic:blipFill>
                  <pic:spPr bwMode="auto">
                    <a:xfrm>
                      <a:off x="0" y="0"/>
                      <a:ext cx="4945380" cy="7665720"/>
                    </a:xfrm>
                    <a:prstGeom prst="rect">
                      <a:avLst/>
                    </a:prstGeom>
                    <a:noFill/>
                    <a:ln w="9525">
                      <a:noFill/>
                      <a:miter lim="800000"/>
                      <a:headEnd/>
                      <a:tailEnd/>
                    </a:ln>
                  </pic:spPr>
                </pic:pic>
              </a:graphicData>
            </a:graphic>
          </wp:inline>
        </w:drawing>
      </w:r>
    </w:p>
    <w:p w:rsidR="00FB59F9" w:rsidRPr="00EE7D90" w:rsidRDefault="00FB59F9">
      <w:pPr>
        <w:rPr>
          <w:sz w:val="24"/>
        </w:rPr>
      </w:pPr>
    </w:p>
    <w:sectPr w:rsidR="00FB59F9" w:rsidRPr="00EE7D90" w:rsidSect="00177419">
      <w:pgSz w:w="11906" w:h="16838" w:code="9"/>
      <w:pgMar w:top="425" w:right="1134" w:bottom="567" w:left="1134" w:header="1701"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76EB" w:rsidRDefault="007276EB" w:rsidP="00EE7D90">
      <w:r>
        <w:separator/>
      </w:r>
    </w:p>
  </w:endnote>
  <w:endnote w:type="continuationSeparator" w:id="0">
    <w:p w:rsidR="007276EB" w:rsidRDefault="007276EB" w:rsidP="00EE7D9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A00002EF" w:usb1="4000207B" w:usb2="00000000" w:usb3="00000000" w:csb0="0000009F" w:csb1="00000000"/>
  </w:font>
  <w:font w:name="Times New Roman">
    <w:panose1 w:val="02020603050405020304"/>
    <w:charset w:val="A2"/>
    <w:family w:val="roman"/>
    <w:pitch w:val="variable"/>
    <w:sig w:usb0="20002A87" w:usb1="80000000" w:usb2="00000008"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A2"/>
    <w:family w:val="swiss"/>
    <w:pitch w:val="variable"/>
    <w:sig w:usb0="61002A87" w:usb1="80000000" w:usb2="00000008" w:usb3="00000000" w:csb0="000101FF" w:csb1="00000000"/>
  </w:font>
  <w:font w:name="Times New Roman Bold">
    <w:altName w:val="Times New Roman"/>
    <w:panose1 w:val="00000000000000000000"/>
    <w:charset w:val="00"/>
    <w:family w:val="roman"/>
    <w:notTrueType/>
    <w:pitch w:val="default"/>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7D90" w:rsidRDefault="00EE7D90">
    <w:pPr>
      <w:pStyle w:val="Altbilgi"/>
      <w:tabs>
        <w:tab w:val="clear" w:pos="4153"/>
        <w:tab w:val="clear" w:pos="8306"/>
      </w:tabs>
      <w:rPr>
        <w:sz w:val="22"/>
        <w:szCs w:val="22"/>
        <w:lang w:val="fr-CH"/>
      </w:rPr>
    </w:pPr>
  </w:p>
  <w:p w:rsidR="00EE7D90" w:rsidRDefault="00EE7D90">
    <w:pPr>
      <w:pStyle w:val="Altbilgi"/>
      <w:tabs>
        <w:tab w:val="clear" w:pos="4153"/>
        <w:tab w:val="clear" w:pos="8306"/>
      </w:tabs>
      <w:rPr>
        <w:sz w:val="22"/>
        <w:szCs w:val="22"/>
        <w:lang w:val="fr-CH"/>
      </w:rPr>
    </w:pPr>
  </w:p>
  <w:p w:rsidR="00EE7D90" w:rsidRDefault="00EE7D90">
    <w:pPr>
      <w:pStyle w:val="Altbilgi"/>
      <w:tabs>
        <w:tab w:val="clear" w:pos="4153"/>
        <w:tab w:val="clear" w:pos="8306"/>
      </w:tabs>
      <w:rPr>
        <w:sz w:val="22"/>
        <w:szCs w:val="22"/>
        <w:lang w:val="fr-CH"/>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7D90" w:rsidRDefault="00EE7D90">
    <w:pPr>
      <w:pStyle w:val="Altbilgi"/>
      <w:tabs>
        <w:tab w:val="clear" w:pos="4153"/>
        <w:tab w:val="clear" w:pos="8306"/>
      </w:tabs>
      <w:rPr>
        <w:sz w:val="2"/>
        <w:szCs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7D90" w:rsidRDefault="00EE7D90">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76EB" w:rsidRDefault="007276EB" w:rsidP="00EE7D90">
      <w:r>
        <w:separator/>
      </w:r>
    </w:p>
  </w:footnote>
  <w:footnote w:type="continuationSeparator" w:id="0">
    <w:p w:rsidR="007276EB" w:rsidRDefault="007276EB" w:rsidP="00EE7D90">
      <w:r>
        <w:continuationSeparator/>
      </w:r>
    </w:p>
  </w:footnote>
  <w:footnote w:id="1">
    <w:p w:rsidR="00EE7D90" w:rsidRDefault="00EE7D90" w:rsidP="00EE7D90">
      <w:pPr>
        <w:tabs>
          <w:tab w:val="left" w:pos="-1417"/>
          <w:tab w:val="left" w:pos="-697"/>
          <w:tab w:val="left" w:pos="23"/>
          <w:tab w:val="left" w:pos="743"/>
          <w:tab w:val="left" w:pos="1463"/>
          <w:tab w:val="left" w:pos="2183"/>
          <w:tab w:val="left" w:pos="2903"/>
          <w:tab w:val="left" w:pos="3623"/>
          <w:tab w:val="left" w:pos="4343"/>
          <w:tab w:val="left" w:pos="5063"/>
          <w:tab w:val="left" w:pos="5783"/>
          <w:tab w:val="left" w:pos="6503"/>
          <w:tab w:val="left" w:pos="7223"/>
          <w:tab w:val="left" w:pos="7943"/>
          <w:tab w:val="left" w:pos="8663"/>
        </w:tabs>
        <w:ind w:left="23"/>
        <w:jc w:val="both"/>
      </w:pPr>
      <w:r w:rsidRPr="00007B0E">
        <w:rPr>
          <w:rStyle w:val="DipnotBavurusu"/>
          <w:u w:val="single"/>
        </w:rPr>
        <w:sym w:font="Symbol" w:char="F02A"/>
      </w:r>
      <w:r w:rsidRPr="00007B0E">
        <w:rPr>
          <w:vertAlign w:val="superscript"/>
        </w:rPr>
        <w:t>/</w:t>
      </w:r>
      <w:r>
        <w:t xml:space="preserve"> {ECE/TRANS/17/Değ.27; 12 Ağustos 2006 tarihinde yürürlüğe girdi.}</w:t>
      </w:r>
    </w:p>
    <w:p w:rsidR="00B936BA" w:rsidRPr="001D118A" w:rsidRDefault="00B936BA" w:rsidP="00B936BA">
      <w:pPr>
        <w:jc w:val="both"/>
        <w:rPr>
          <w:b/>
          <w:color w:val="000000" w:themeColor="text1"/>
          <w:sz w:val="24"/>
          <w:lang w:val="tr-TR"/>
        </w:rPr>
      </w:pPr>
      <w:r w:rsidRPr="001D118A">
        <w:rPr>
          <w:b/>
          <w:color w:val="000000" w:themeColor="text1"/>
          <w:sz w:val="24"/>
          <w:lang w:val="tr-TR"/>
        </w:rPr>
        <w:t>(25/03/2007 tarihli ve 26473 sayılı Resmi Gazete’de yayımlanan 2007/11745 sayılı B</w:t>
      </w:r>
      <w:r w:rsidR="007C007D" w:rsidRPr="001D118A">
        <w:rPr>
          <w:b/>
          <w:color w:val="000000" w:themeColor="text1"/>
          <w:sz w:val="24"/>
          <w:lang w:val="tr-TR"/>
        </w:rPr>
        <w:t>akanlar Kurulu Kararı ile uygun bulunmuştur</w:t>
      </w:r>
      <w:r w:rsidRPr="001D118A">
        <w:rPr>
          <w:b/>
          <w:color w:val="000000" w:themeColor="text1"/>
          <w:sz w:val="24"/>
          <w:lang w:val="tr-TR"/>
        </w:rPr>
        <w:t>.)</w:t>
      </w:r>
    </w:p>
    <w:p w:rsidR="00B936BA" w:rsidRPr="00007B0E" w:rsidRDefault="00B936BA" w:rsidP="00EE7D90">
      <w:pPr>
        <w:tabs>
          <w:tab w:val="left" w:pos="-1417"/>
          <w:tab w:val="left" w:pos="-697"/>
          <w:tab w:val="left" w:pos="23"/>
          <w:tab w:val="left" w:pos="743"/>
          <w:tab w:val="left" w:pos="1463"/>
          <w:tab w:val="left" w:pos="2183"/>
          <w:tab w:val="left" w:pos="2903"/>
          <w:tab w:val="left" w:pos="3623"/>
          <w:tab w:val="left" w:pos="4343"/>
          <w:tab w:val="left" w:pos="5063"/>
          <w:tab w:val="left" w:pos="5783"/>
          <w:tab w:val="left" w:pos="6503"/>
          <w:tab w:val="left" w:pos="7223"/>
          <w:tab w:val="left" w:pos="7943"/>
          <w:tab w:val="left" w:pos="8663"/>
        </w:tabs>
        <w:ind w:left="23"/>
        <w:jc w:val="both"/>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7D90" w:rsidRDefault="00FC6240">
    <w:pPr>
      <w:rPr>
        <w:sz w:val="2"/>
        <w:szCs w:val="2"/>
      </w:rPr>
    </w:pPr>
    <w:r w:rsidRPr="00FC6240">
      <w:rPr>
        <w:noProof/>
        <w:sz w:val="2"/>
        <w:szCs w:val="2"/>
        <w:lang w:val="en-US"/>
      </w:rPr>
      <w:pict>
        <v:shapetype id="_x0000_t202" coordsize="21600,21600" o:spt="202" path="m,l,21600r21600,l21600,xe">
          <v:stroke joinstyle="miter"/>
          <v:path gradientshapeok="t" o:connecttype="rect"/>
        </v:shapetype>
        <v:shape id="_x0000_s1026" type="#_x0000_t202" style="position:absolute;margin-left:765.25pt;margin-top:16.85pt;width:45pt;height:351pt;z-index:-251655168;mso-position-horizontal-relative:page;mso-position-vertical-relative:margin" filled="f" stroked="f">
          <v:textbox style="layout-flow:vertical;mso-next-textbox:#_x0000_s1026" inset="0,0,0,0">
            <w:txbxContent>
              <w:p w:rsidR="00EE7D90" w:rsidRDefault="00EE7D90" w:rsidP="00654120">
                <w:r>
                  <w:t xml:space="preserve">          </w:t>
                </w:r>
                <w:r w:rsidRPr="00B01A8E">
                  <w:rPr>
                    <w:rStyle w:val="stbilgiChar"/>
                  </w:rPr>
                  <w:t xml:space="preserve">TIR Carnet </w:t>
                </w:r>
                <w:r>
                  <w:t xml:space="preserve">                                                         - </w:t>
                </w:r>
                <w:fldSimple w:instr="PAGE ">
                  <w:r>
                    <w:rPr>
                      <w:noProof/>
                    </w:rPr>
                    <w:t>118</w:t>
                  </w:r>
                </w:fldSimple>
                <w:r>
                  <w:t xml:space="preserve"> -</w:t>
                </w:r>
              </w:p>
            </w:txbxContent>
          </v:textbox>
          <w10:wrap anchorx="page"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7D90" w:rsidRDefault="00EE7D90">
    <w:pPr>
      <w:rPr>
        <w:sz w:val="22"/>
        <w:szCs w:val="22"/>
        <w:lang w:val="fr-CH"/>
      </w:rPr>
    </w:pPr>
  </w:p>
  <w:p w:rsidR="00EE7D90" w:rsidRDefault="00FC6240">
    <w:pPr>
      <w:rPr>
        <w:sz w:val="22"/>
        <w:szCs w:val="22"/>
        <w:lang w:val="fr-CH"/>
      </w:rPr>
    </w:pPr>
    <w:r w:rsidRPr="00FC6240">
      <w:rPr>
        <w:noProof/>
        <w:sz w:val="2"/>
        <w:szCs w:val="2"/>
        <w:lang w:val="en-US"/>
      </w:rPr>
      <w:pict>
        <v:shapetype id="_x0000_t202" coordsize="21600,21600" o:spt="202" path="m,l,21600r21600,l21600,xe">
          <v:stroke joinstyle="miter"/>
          <v:path gradientshapeok="t" o:connecttype="rect"/>
        </v:shapetype>
        <v:shape id="_x0000_s1025" type="#_x0000_t202" style="position:absolute;margin-left:693pt;margin-top:61.05pt;width:18pt;height:412.15pt;z-index:-251656192;mso-position-horizontal-relative:margin;mso-position-vertical-relative:margin" filled="f" stroked="f">
          <v:textbox style="layout-flow:vertical;mso-next-textbox:#_x0000_s1025" inset="0,0,0,0">
            <w:txbxContent>
              <w:p w:rsidR="00EE7D90" w:rsidRPr="00B01A8E" w:rsidRDefault="00EE7D90">
                <w:pPr>
                  <w:jc w:val="both"/>
                  <w:rPr>
                    <w:rStyle w:val="stbilgiChar"/>
                  </w:rPr>
                </w:pPr>
                <w:r>
                  <w:t xml:space="preserve">                                                - </w:t>
                </w:r>
                <w:fldSimple w:instr="PAGE ">
                  <w:r w:rsidR="001D118A">
                    <w:rPr>
                      <w:noProof/>
                    </w:rPr>
                    <w:t>3</w:t>
                  </w:r>
                </w:fldSimple>
                <w:r>
                  <w:t xml:space="preserve"> -</w:t>
                </w:r>
                <w:r>
                  <w:tab/>
                </w:r>
                <w:r>
                  <w:tab/>
                </w:r>
                <w:r>
                  <w:tab/>
                </w:r>
                <w:r>
                  <w:tab/>
                  <w:t xml:space="preserve">          </w:t>
                </w:r>
                <w:r w:rsidRPr="00B01A8E">
                  <w:rPr>
                    <w:rStyle w:val="stbilgiChar"/>
                  </w:rPr>
                  <w:t>TIR Carnet</w:t>
                </w:r>
              </w:p>
              <w:p w:rsidR="00EE7D90" w:rsidRDefault="00EE7D90">
                <w:pPr>
                  <w:jc w:val="both"/>
                </w:pPr>
              </w:p>
            </w:txbxContent>
          </v:textbox>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efaultTabStop w:val="708"/>
  <w:hyphenationZone w:val="425"/>
  <w:characterSpacingControl w:val="doNotCompress"/>
  <w:hdrShapeDefaults>
    <o:shapedefaults v:ext="edit" spidmax="7170"/>
    <o:shapelayout v:ext="edit">
      <o:idmap v:ext="edit" data="1"/>
    </o:shapelayout>
  </w:hdrShapeDefaults>
  <w:footnotePr>
    <w:footnote w:id="-1"/>
    <w:footnote w:id="0"/>
  </w:footnotePr>
  <w:endnotePr>
    <w:endnote w:id="-1"/>
    <w:endnote w:id="0"/>
  </w:endnotePr>
  <w:compat/>
  <w:rsids>
    <w:rsidRoot w:val="00EE7D90"/>
    <w:rsid w:val="0004745C"/>
    <w:rsid w:val="000B2F20"/>
    <w:rsid w:val="000D2E66"/>
    <w:rsid w:val="00114D4C"/>
    <w:rsid w:val="0014031D"/>
    <w:rsid w:val="00187C03"/>
    <w:rsid w:val="001D118A"/>
    <w:rsid w:val="003871F3"/>
    <w:rsid w:val="007276EB"/>
    <w:rsid w:val="00744C55"/>
    <w:rsid w:val="007C007D"/>
    <w:rsid w:val="00A0488F"/>
    <w:rsid w:val="00B56E2A"/>
    <w:rsid w:val="00B936BA"/>
    <w:rsid w:val="00D40273"/>
    <w:rsid w:val="00DE1E93"/>
    <w:rsid w:val="00EE7D90"/>
    <w:rsid w:val="00FB59F9"/>
    <w:rsid w:val="00FC6240"/>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7D90"/>
    <w:pPr>
      <w:spacing w:after="0" w:line="240" w:lineRule="auto"/>
    </w:pPr>
    <w:rPr>
      <w:rFonts w:ascii="Times New Roman" w:eastAsia="Times New Roman" w:hAnsi="Times New Roman" w:cs="Times New Roman"/>
      <w:sz w:val="20"/>
      <w:szCs w:val="24"/>
      <w:lang w:val="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pNum">
    <w:name w:val="ChapNum"/>
    <w:basedOn w:val="Normal"/>
    <w:autoRedefine/>
    <w:rsid w:val="00EE7D90"/>
    <w:pPr>
      <w:keepNext/>
      <w:spacing w:before="120"/>
      <w:jc w:val="center"/>
    </w:pPr>
    <w:rPr>
      <w:b/>
      <w:bCs/>
      <w:sz w:val="28"/>
      <w:u w:val="single"/>
    </w:rPr>
  </w:style>
  <w:style w:type="character" w:styleId="DipnotBavurusu">
    <w:name w:val="footnote reference"/>
    <w:basedOn w:val="VarsaylanParagrafYazTipi"/>
    <w:semiHidden/>
    <w:rsid w:val="00EE7D90"/>
    <w:rPr>
      <w:vertAlign w:val="superscript"/>
    </w:rPr>
  </w:style>
  <w:style w:type="paragraph" w:styleId="Altbilgi">
    <w:name w:val="footer"/>
    <w:basedOn w:val="Normal"/>
    <w:link w:val="AltbilgiChar"/>
    <w:rsid w:val="00EE7D90"/>
    <w:pPr>
      <w:tabs>
        <w:tab w:val="center" w:pos="4153"/>
        <w:tab w:val="right" w:pos="8306"/>
      </w:tabs>
    </w:pPr>
  </w:style>
  <w:style w:type="character" w:customStyle="1" w:styleId="AltbilgiChar">
    <w:name w:val="Altbilgi Char"/>
    <w:basedOn w:val="VarsaylanParagrafYazTipi"/>
    <w:link w:val="Altbilgi"/>
    <w:rsid w:val="00EE7D90"/>
    <w:rPr>
      <w:rFonts w:ascii="Times New Roman" w:eastAsia="Times New Roman" w:hAnsi="Times New Roman" w:cs="Times New Roman"/>
      <w:sz w:val="20"/>
      <w:szCs w:val="24"/>
      <w:lang w:val="en-GB"/>
    </w:rPr>
  </w:style>
  <w:style w:type="paragraph" w:styleId="stbilgi">
    <w:name w:val="header"/>
    <w:basedOn w:val="Normal"/>
    <w:link w:val="stbilgiChar"/>
    <w:rsid w:val="00EE7D90"/>
    <w:pPr>
      <w:tabs>
        <w:tab w:val="center" w:pos="4153"/>
        <w:tab w:val="right" w:pos="8460"/>
      </w:tabs>
    </w:pPr>
    <w:rPr>
      <w:smallCaps/>
    </w:rPr>
  </w:style>
  <w:style w:type="character" w:customStyle="1" w:styleId="stbilgiChar">
    <w:name w:val="Üstbilgi Char"/>
    <w:basedOn w:val="VarsaylanParagrafYazTipi"/>
    <w:link w:val="stbilgi"/>
    <w:rsid w:val="00EE7D90"/>
    <w:rPr>
      <w:rFonts w:ascii="Times New Roman" w:eastAsia="Times New Roman" w:hAnsi="Times New Roman" w:cs="Times New Roman"/>
      <w:smallCaps/>
      <w:sz w:val="20"/>
      <w:szCs w:val="24"/>
      <w:lang w:val="en-GB"/>
    </w:rPr>
  </w:style>
  <w:style w:type="paragraph" w:customStyle="1" w:styleId="ALTBASLIK">
    <w:name w:val="ALTBASLIK"/>
    <w:basedOn w:val="Normal"/>
    <w:rsid w:val="00EE7D90"/>
    <w:pPr>
      <w:tabs>
        <w:tab w:val="left" w:pos="567"/>
      </w:tabs>
      <w:jc w:val="center"/>
    </w:pPr>
    <w:rPr>
      <w:rFonts w:ascii="New York" w:hAnsi="New York"/>
      <w:b/>
      <w:sz w:val="18"/>
      <w:szCs w:val="20"/>
      <w:lang w:val="en-US" w:eastAsia="tr-TR"/>
    </w:rPr>
  </w:style>
  <w:style w:type="paragraph" w:styleId="BalonMetni">
    <w:name w:val="Balloon Text"/>
    <w:basedOn w:val="Normal"/>
    <w:link w:val="BalonMetniChar"/>
    <w:uiPriority w:val="99"/>
    <w:semiHidden/>
    <w:unhideWhenUsed/>
    <w:rsid w:val="00EE7D90"/>
    <w:rPr>
      <w:rFonts w:ascii="Tahoma" w:hAnsi="Tahoma" w:cs="Tahoma"/>
      <w:sz w:val="16"/>
      <w:szCs w:val="16"/>
    </w:rPr>
  </w:style>
  <w:style w:type="character" w:customStyle="1" w:styleId="BalonMetniChar">
    <w:name w:val="Balon Metni Char"/>
    <w:basedOn w:val="VarsaylanParagrafYazTipi"/>
    <w:link w:val="BalonMetni"/>
    <w:uiPriority w:val="99"/>
    <w:semiHidden/>
    <w:rsid w:val="00EE7D90"/>
    <w:rPr>
      <w:rFonts w:ascii="Tahoma" w:eastAsia="Times New Roman" w:hAnsi="Tahoma" w:cs="Tahoma"/>
      <w:sz w:val="16"/>
      <w:szCs w:val="16"/>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434</Words>
  <Characters>2476</Characters>
  <Application>Microsoft Office Word</Application>
  <DocSecurity>0</DocSecurity>
  <Lines>20</Lines>
  <Paragraphs>5</Paragraphs>
  <ScaleCrop>false</ScaleCrop>
  <Company>GUMRUK</Company>
  <LinksUpToDate>false</LinksUpToDate>
  <CharactersWithSpaces>2905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MEDSYS</dc:creator>
  <cp:keywords/>
  <dc:description/>
  <cp:lastModifiedBy>MEDSYS</cp:lastModifiedBy>
  <cp:revision>4</cp:revision>
  <dcterms:created xsi:type="dcterms:W3CDTF">2011-04-28T08:52:00Z</dcterms:created>
  <dcterms:modified xsi:type="dcterms:W3CDTF">2011-04-29T10:55:00Z</dcterms:modified>
</cp:coreProperties>
</file>